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28"/>
          <w:szCs w:val="28"/>
          <w:lang w:eastAsia="zh-CN"/>
        </w:rPr>
      </w:pPr>
      <w:r>
        <w:rPr>
          <w:rFonts w:hint="eastAsia"/>
          <w:b/>
          <w:sz w:val="28"/>
          <w:szCs w:val="28"/>
          <w:lang w:eastAsia="zh-CN"/>
        </w:rPr>
        <w:t>阳新县职业教育中心</w:t>
      </w:r>
      <w:r>
        <w:rPr>
          <w:rFonts w:hint="eastAsia"/>
          <w:b/>
          <w:sz w:val="28"/>
          <w:szCs w:val="28"/>
        </w:rPr>
        <w:t>食堂传菜电梯公开询价采购</w:t>
      </w:r>
      <w:r>
        <w:rPr>
          <w:rFonts w:hint="eastAsia"/>
          <w:b/>
          <w:sz w:val="28"/>
          <w:szCs w:val="28"/>
          <w:lang w:eastAsia="zh-CN"/>
        </w:rPr>
        <w:t>公告</w:t>
      </w:r>
    </w:p>
    <w:p>
      <w:pPr>
        <w:rPr>
          <w:rFonts w:hint="eastAsia"/>
        </w:rPr>
      </w:pPr>
    </w:p>
    <w:p>
      <w:pPr>
        <w:ind w:firstLine="420" w:firstLineChars="200"/>
        <w:rPr>
          <w:rFonts w:hint="eastAsia"/>
        </w:rPr>
      </w:pPr>
      <w:r>
        <w:rPr>
          <w:rFonts w:hint="eastAsia"/>
        </w:rPr>
        <w:t>我校食堂传菜电梯</w:t>
      </w:r>
      <w:r>
        <w:rPr>
          <w:rFonts w:hint="eastAsia"/>
          <w:lang w:eastAsia="zh-CN"/>
        </w:rPr>
        <w:t>现面向社会</w:t>
      </w:r>
      <w:r>
        <w:rPr>
          <w:rFonts w:hint="eastAsia"/>
        </w:rPr>
        <w:t>公开询价采购，欢迎具备资质条件的供应商</w:t>
      </w:r>
      <w:r>
        <w:rPr>
          <w:rFonts w:hint="eastAsia"/>
          <w:lang w:eastAsia="zh-CN"/>
        </w:rPr>
        <w:t>参与竞标</w:t>
      </w:r>
      <w:r>
        <w:rPr>
          <w:rFonts w:hint="eastAsia"/>
        </w:rPr>
        <w:t>。</w:t>
      </w:r>
    </w:p>
    <w:p>
      <w:pPr>
        <w:rPr>
          <w:rFonts w:hint="eastAsia"/>
        </w:rPr>
      </w:pPr>
      <w:r>
        <w:rPr>
          <w:rFonts w:hint="eastAsia"/>
          <w:lang w:eastAsia="zh-CN"/>
        </w:rPr>
        <w:t>一</w:t>
      </w:r>
      <w:r>
        <w:rPr>
          <w:rFonts w:hint="eastAsia"/>
        </w:rPr>
        <w:t>、采购内容：</w:t>
      </w:r>
    </w:p>
    <w:p>
      <w:pPr>
        <w:ind w:firstLine="840" w:firstLineChars="400"/>
        <w:rPr>
          <w:rFonts w:hint="eastAsia"/>
        </w:rPr>
      </w:pPr>
      <w:r>
        <w:rPr>
          <w:rFonts w:hint="eastAsia"/>
        </w:rPr>
        <w:t>食堂传菜电梯</w:t>
      </w:r>
      <w:r>
        <w:rPr>
          <w:rFonts w:hint="eastAsia"/>
          <w:lang w:val="en-US" w:eastAsia="zh-CN"/>
        </w:rPr>
        <w:t>1</w:t>
      </w:r>
      <w:r>
        <w:rPr>
          <w:rFonts w:hint="eastAsia"/>
        </w:rPr>
        <w:t>部；</w:t>
      </w:r>
      <w:r>
        <w:rPr>
          <w:rFonts w:hint="eastAsia"/>
          <w:lang w:eastAsia="zh-CN"/>
        </w:rPr>
        <w:t>含</w:t>
      </w:r>
      <w:r>
        <w:rPr>
          <w:rFonts w:hint="eastAsia"/>
        </w:rPr>
        <w:t>安装调试、报建验收、操作培训、保修售后</w:t>
      </w:r>
      <w:r>
        <w:rPr>
          <w:rFonts w:hint="eastAsia"/>
          <w:lang w:val="en-US" w:eastAsia="zh-CN"/>
        </w:rPr>
        <w:t>1年</w:t>
      </w:r>
      <w:r>
        <w:rPr>
          <w:rFonts w:hint="eastAsia"/>
        </w:rPr>
        <w:t>等内容。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2763"/>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restart"/>
            <w:vAlign w:val="center"/>
          </w:tcPr>
          <w:p>
            <w:pPr>
              <w:jc w:val="center"/>
              <w:rPr>
                <w:rFonts w:hint="eastAsia"/>
                <w:vertAlign w:val="baseline"/>
                <w:lang w:eastAsia="zh-CN"/>
              </w:rPr>
            </w:pPr>
            <w:r>
              <w:rPr>
                <w:rFonts w:hint="eastAsia"/>
                <w:vertAlign w:val="baseline"/>
                <w:lang w:eastAsia="zh-CN"/>
              </w:rPr>
              <w:t>主要参数</w:t>
            </w:r>
          </w:p>
        </w:tc>
        <w:tc>
          <w:tcPr>
            <w:tcW w:w="2763" w:type="dxa"/>
            <w:vAlign w:val="center"/>
          </w:tcPr>
          <w:p>
            <w:pPr>
              <w:jc w:val="center"/>
              <w:rPr>
                <w:rFonts w:hint="eastAsia"/>
                <w:vertAlign w:val="baseline"/>
                <w:lang w:eastAsia="zh-CN"/>
              </w:rPr>
            </w:pPr>
            <w:r>
              <w:rPr>
                <w:rFonts w:hint="eastAsia"/>
                <w:vertAlign w:val="baseline"/>
                <w:lang w:eastAsia="zh-CN"/>
              </w:rPr>
              <w:t>产品系列</w:t>
            </w:r>
          </w:p>
        </w:tc>
        <w:tc>
          <w:tcPr>
            <w:tcW w:w="3037" w:type="dxa"/>
            <w:vAlign w:val="center"/>
          </w:tcPr>
          <w:p>
            <w:pPr>
              <w:jc w:val="center"/>
              <w:rPr>
                <w:rFonts w:hint="default"/>
                <w:vertAlign w:val="baseline"/>
                <w:lang w:val="en-US" w:eastAsia="zh-CN"/>
              </w:rPr>
            </w:pPr>
            <w:r>
              <w:rPr>
                <w:rFonts w:hint="eastAsia"/>
                <w:vertAlign w:val="baseline"/>
                <w:lang w:val="en-US" w:eastAsia="zh-CN"/>
              </w:rPr>
              <w:t>HC-300系列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梯种</w:t>
            </w:r>
          </w:p>
        </w:tc>
        <w:tc>
          <w:tcPr>
            <w:tcW w:w="3037" w:type="dxa"/>
            <w:vAlign w:val="center"/>
          </w:tcPr>
          <w:p>
            <w:pPr>
              <w:jc w:val="center"/>
              <w:rPr>
                <w:rFonts w:hint="eastAsia"/>
                <w:vertAlign w:val="baseline"/>
                <w:lang w:eastAsia="zh-CN"/>
              </w:rPr>
            </w:pPr>
            <w:r>
              <w:rPr>
                <w:rFonts w:hint="eastAsia"/>
                <w:lang w:eastAsia="zh-CN"/>
              </w:rPr>
              <w:t>杂物电梯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机房位置</w:t>
            </w:r>
          </w:p>
        </w:tc>
        <w:tc>
          <w:tcPr>
            <w:tcW w:w="3037" w:type="dxa"/>
            <w:vAlign w:val="center"/>
          </w:tcPr>
          <w:p>
            <w:pPr>
              <w:jc w:val="center"/>
              <w:rPr>
                <w:rFonts w:hint="eastAsia"/>
                <w:vertAlign w:val="baseline"/>
                <w:lang w:eastAsia="zh-CN"/>
              </w:rPr>
            </w:pPr>
            <w:r>
              <w:rPr>
                <w:rFonts w:hint="eastAsia"/>
                <w:vertAlign w:val="baseline"/>
                <w:lang w:eastAsia="zh-CN"/>
              </w:rPr>
              <w:t>井道顶部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载重</w:t>
            </w:r>
          </w:p>
        </w:tc>
        <w:tc>
          <w:tcPr>
            <w:tcW w:w="3037" w:type="dxa"/>
            <w:vAlign w:val="center"/>
          </w:tcPr>
          <w:p>
            <w:pPr>
              <w:jc w:val="center"/>
              <w:rPr>
                <w:rFonts w:hint="default"/>
                <w:vertAlign w:val="baseline"/>
                <w:lang w:val="en-US" w:eastAsia="zh-CN"/>
              </w:rPr>
            </w:pPr>
            <w:r>
              <w:rPr>
                <w:rFonts w:hint="eastAsia"/>
                <w:vertAlign w:val="baseline"/>
                <w:lang w:val="en-US" w:eastAsia="zh-CN"/>
              </w:rPr>
              <w:t>300KG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速度</w:t>
            </w:r>
          </w:p>
        </w:tc>
        <w:tc>
          <w:tcPr>
            <w:tcW w:w="3037" w:type="dxa"/>
            <w:vAlign w:val="center"/>
          </w:tcPr>
          <w:p>
            <w:pPr>
              <w:jc w:val="center"/>
              <w:rPr>
                <w:rFonts w:hint="default"/>
                <w:vertAlign w:val="baseline"/>
                <w:lang w:val="en-US" w:eastAsia="zh-CN"/>
              </w:rPr>
            </w:pPr>
            <w:r>
              <w:rPr>
                <w:rFonts w:hint="eastAsia"/>
                <w:vertAlign w:val="baseline"/>
                <w:lang w:val="en-US" w:eastAsia="zh-CN"/>
              </w:rPr>
              <w:t>0.4m/s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层站</w:t>
            </w:r>
          </w:p>
        </w:tc>
        <w:tc>
          <w:tcPr>
            <w:tcW w:w="3037" w:type="dxa"/>
            <w:vAlign w:val="center"/>
          </w:tcPr>
          <w:p>
            <w:pPr>
              <w:jc w:val="center"/>
              <w:rPr>
                <w:rFonts w:hint="default"/>
                <w:vertAlign w:val="baseline"/>
                <w:lang w:val="en-US" w:eastAsia="zh-CN"/>
              </w:rPr>
            </w:pPr>
            <w:r>
              <w:rPr>
                <w:rFonts w:hint="eastAsia"/>
                <w:vertAlign w:val="baseline"/>
                <w:lang w:val="en-US" w:eastAsia="zh-CN"/>
              </w:rPr>
              <w:t>3层3站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restart"/>
            <w:vAlign w:val="center"/>
          </w:tcPr>
          <w:p>
            <w:pPr>
              <w:jc w:val="center"/>
              <w:rPr>
                <w:rFonts w:hint="eastAsia"/>
                <w:vertAlign w:val="baseline"/>
                <w:lang w:eastAsia="zh-CN"/>
              </w:rPr>
            </w:pPr>
            <w:r>
              <w:rPr>
                <w:rFonts w:hint="eastAsia"/>
                <w:vertAlign w:val="baseline"/>
                <w:lang w:eastAsia="zh-CN"/>
              </w:rPr>
              <w:t>技术参数</w:t>
            </w:r>
          </w:p>
        </w:tc>
        <w:tc>
          <w:tcPr>
            <w:tcW w:w="2763" w:type="dxa"/>
            <w:vAlign w:val="center"/>
          </w:tcPr>
          <w:p>
            <w:pPr>
              <w:jc w:val="center"/>
              <w:rPr>
                <w:rFonts w:hint="eastAsia"/>
                <w:vertAlign w:val="baseline"/>
                <w:lang w:eastAsia="zh-CN"/>
              </w:rPr>
            </w:pPr>
            <w:r>
              <w:rPr>
                <w:rFonts w:hint="eastAsia"/>
                <w:vertAlign w:val="baseline"/>
                <w:lang w:eastAsia="zh-CN"/>
              </w:rPr>
              <w:t>驱动方式</w:t>
            </w:r>
          </w:p>
        </w:tc>
        <w:tc>
          <w:tcPr>
            <w:tcW w:w="3037" w:type="dxa"/>
            <w:vAlign w:val="center"/>
          </w:tcPr>
          <w:p>
            <w:pPr>
              <w:jc w:val="center"/>
              <w:rPr>
                <w:rFonts w:hint="eastAsia"/>
                <w:vertAlign w:val="baseline"/>
                <w:lang w:eastAsia="zh-CN"/>
              </w:rPr>
            </w:pPr>
            <w:r>
              <w:rPr>
                <w:rFonts w:hint="eastAsia"/>
                <w:vertAlign w:val="baseline"/>
                <w:lang w:eastAsia="zh-CN"/>
              </w:rPr>
              <w:t>曳引交流单速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电机功率</w:t>
            </w:r>
          </w:p>
        </w:tc>
        <w:tc>
          <w:tcPr>
            <w:tcW w:w="3037" w:type="dxa"/>
            <w:vAlign w:val="center"/>
          </w:tcPr>
          <w:p>
            <w:pPr>
              <w:jc w:val="center"/>
              <w:rPr>
                <w:rFonts w:hint="default"/>
                <w:vertAlign w:val="baseline"/>
                <w:lang w:val="en-US" w:eastAsia="zh-CN"/>
              </w:rPr>
            </w:pPr>
            <w:r>
              <w:rPr>
                <w:rFonts w:hint="eastAsia"/>
                <w:vertAlign w:val="baseline"/>
                <w:lang w:val="en-US" w:eastAsia="zh-CN"/>
              </w:rPr>
              <w:t>1.1kw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曳引比</w:t>
            </w:r>
          </w:p>
        </w:tc>
        <w:tc>
          <w:tcPr>
            <w:tcW w:w="3037" w:type="dxa"/>
            <w:vAlign w:val="center"/>
          </w:tcPr>
          <w:p>
            <w:pPr>
              <w:jc w:val="center"/>
              <w:rPr>
                <w:rFonts w:hint="default"/>
                <w:vertAlign w:val="baseline"/>
                <w:lang w:val="en-US" w:eastAsia="zh-CN"/>
              </w:rPr>
            </w:pPr>
            <w:r>
              <w:rPr>
                <w:rFonts w:hint="eastAsia"/>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控制系统</w:t>
            </w:r>
          </w:p>
        </w:tc>
        <w:tc>
          <w:tcPr>
            <w:tcW w:w="3037" w:type="dxa"/>
            <w:vAlign w:val="center"/>
          </w:tcPr>
          <w:p>
            <w:pPr>
              <w:jc w:val="center"/>
              <w:rPr>
                <w:rFonts w:hint="eastAsia" w:eastAsiaTheme="minorEastAsia"/>
                <w:vertAlign w:val="baseline"/>
                <w:lang w:eastAsia="zh-CN"/>
              </w:rPr>
            </w:pPr>
            <w:r>
              <w:rPr>
                <w:rFonts w:hint="eastAsia"/>
                <w:vertAlign w:val="baseline"/>
                <w:lang w:eastAsia="zh-CN"/>
              </w:rPr>
              <w:t>微机控制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操纵面板</w:t>
            </w:r>
          </w:p>
        </w:tc>
        <w:tc>
          <w:tcPr>
            <w:tcW w:w="3037" w:type="dxa"/>
            <w:vAlign w:val="center"/>
          </w:tcPr>
          <w:p>
            <w:pPr>
              <w:jc w:val="center"/>
              <w:rPr>
                <w:rFonts w:hint="eastAsia"/>
                <w:vertAlign w:val="baseline"/>
                <w:lang w:eastAsia="zh-CN"/>
              </w:rPr>
            </w:pPr>
            <w:r>
              <w:rPr>
                <w:rFonts w:hint="eastAsia"/>
                <w:vertAlign w:val="baseline"/>
                <w:lang w:eastAsia="zh-CN"/>
              </w:rPr>
              <w:t>不锈钢</w:t>
            </w:r>
            <w:r>
              <w:rPr>
                <w:rFonts w:hint="eastAsia"/>
                <w:vertAlign w:val="baseline"/>
                <w:lang w:val="en-US" w:eastAsia="zh-CN"/>
              </w:rPr>
              <w:t>/</w:t>
            </w:r>
            <w:r>
              <w:rPr>
                <w:rFonts w:hint="eastAsia"/>
                <w:vertAlign w:val="baseline"/>
                <w:lang w:eastAsia="zh-CN"/>
              </w:rPr>
              <w:t>七段数显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restart"/>
            <w:vAlign w:val="center"/>
          </w:tcPr>
          <w:p>
            <w:pPr>
              <w:jc w:val="center"/>
              <w:rPr>
                <w:rFonts w:hint="eastAsia"/>
                <w:vertAlign w:val="baseline"/>
                <w:lang w:eastAsia="zh-CN"/>
              </w:rPr>
            </w:pPr>
            <w:r>
              <w:rPr>
                <w:rFonts w:hint="eastAsia"/>
                <w:vertAlign w:val="baseline"/>
                <w:lang w:eastAsia="zh-CN"/>
              </w:rPr>
              <w:t>主电源</w:t>
            </w:r>
          </w:p>
        </w:tc>
        <w:tc>
          <w:tcPr>
            <w:tcW w:w="2763" w:type="dxa"/>
            <w:vAlign w:val="center"/>
          </w:tcPr>
          <w:p>
            <w:pPr>
              <w:jc w:val="center"/>
              <w:rPr>
                <w:rFonts w:hint="eastAsia"/>
                <w:vertAlign w:val="baseline"/>
                <w:lang w:eastAsia="zh-CN"/>
              </w:rPr>
            </w:pPr>
            <w:r>
              <w:rPr>
                <w:rFonts w:hint="eastAsia"/>
                <w:vertAlign w:val="baseline"/>
                <w:lang w:eastAsia="zh-CN"/>
              </w:rPr>
              <w:t>主电源</w:t>
            </w:r>
          </w:p>
        </w:tc>
        <w:tc>
          <w:tcPr>
            <w:tcW w:w="3037" w:type="dxa"/>
            <w:vAlign w:val="center"/>
          </w:tcPr>
          <w:p>
            <w:pPr>
              <w:jc w:val="center"/>
              <w:rPr>
                <w:rFonts w:hint="eastAsia"/>
                <w:vertAlign w:val="baseline"/>
                <w:lang w:eastAsia="zh-CN"/>
              </w:rPr>
            </w:pPr>
            <w:r>
              <w:rPr>
                <w:rFonts w:hint="eastAsia"/>
                <w:vertAlign w:val="baseline"/>
                <w:lang w:eastAsia="zh-CN"/>
              </w:rPr>
              <w:t>三相五线制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电源差</w:t>
            </w:r>
          </w:p>
        </w:tc>
        <w:tc>
          <w:tcPr>
            <w:tcW w:w="3037" w:type="dxa"/>
            <w:vAlign w:val="center"/>
          </w:tcPr>
          <w:p>
            <w:pPr>
              <w:jc w:val="center"/>
              <w:rPr>
                <w:rFonts w:hint="default"/>
                <w:vertAlign w:val="baseline"/>
                <w:lang w:val="en-US" w:eastAsia="zh-CN"/>
              </w:rPr>
            </w:pPr>
            <w:r>
              <w:rPr>
                <w:rFonts w:hint="eastAsia" w:ascii="微软雅黑" w:hAnsi="微软雅黑" w:eastAsia="微软雅黑" w:cs="微软雅黑"/>
                <w:vertAlign w:val="baseline"/>
                <w:lang w:val="en-US" w:eastAsia="zh-CN"/>
              </w:rPr>
              <w:t>±</w:t>
            </w: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照明</w:t>
            </w:r>
          </w:p>
        </w:tc>
        <w:tc>
          <w:tcPr>
            <w:tcW w:w="3037" w:type="dxa"/>
            <w:vAlign w:val="center"/>
          </w:tcPr>
          <w:p>
            <w:pPr>
              <w:jc w:val="center"/>
              <w:rPr>
                <w:rFonts w:hint="eastAsia"/>
                <w:vertAlign w:val="baseline"/>
                <w:lang w:eastAsia="zh-CN"/>
              </w:rPr>
            </w:pPr>
            <w:r>
              <w:rPr>
                <w:rFonts w:hint="eastAsia"/>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vMerge w:val="continue"/>
            <w:vAlign w:val="center"/>
          </w:tcPr>
          <w:p>
            <w:pPr>
              <w:jc w:val="center"/>
              <w:rPr>
                <w:rFonts w:hint="eastAsia"/>
                <w:vertAlign w:val="baseline"/>
                <w:lang w:eastAsia="zh-CN"/>
              </w:rPr>
            </w:pPr>
          </w:p>
        </w:tc>
        <w:tc>
          <w:tcPr>
            <w:tcW w:w="2763" w:type="dxa"/>
            <w:vAlign w:val="center"/>
          </w:tcPr>
          <w:p>
            <w:pPr>
              <w:jc w:val="center"/>
              <w:rPr>
                <w:rFonts w:hint="eastAsia"/>
                <w:vertAlign w:val="baseline"/>
                <w:lang w:eastAsia="zh-CN"/>
              </w:rPr>
            </w:pPr>
            <w:r>
              <w:rPr>
                <w:rFonts w:hint="eastAsia"/>
                <w:vertAlign w:val="baseline"/>
                <w:lang w:eastAsia="zh-CN"/>
              </w:rPr>
              <w:t>温度范围</w:t>
            </w:r>
          </w:p>
        </w:tc>
        <w:tc>
          <w:tcPr>
            <w:tcW w:w="3037" w:type="dxa"/>
            <w:vAlign w:val="center"/>
          </w:tcPr>
          <w:p>
            <w:pPr>
              <w:jc w:val="center"/>
              <w:rPr>
                <w:rFonts w:hint="default"/>
                <w:vertAlign w:val="baseline"/>
                <w:lang w:val="en-US" w:eastAsia="zh-CN"/>
              </w:rPr>
            </w:pPr>
            <w:r>
              <w:rPr>
                <w:rFonts w:hint="eastAsia"/>
                <w:vertAlign w:val="baseline"/>
                <w:lang w:val="en-US" w:eastAsia="zh-CN"/>
              </w:rPr>
              <w:t>40度</w:t>
            </w:r>
          </w:p>
        </w:tc>
      </w:tr>
    </w:tbl>
    <w:p>
      <w:pPr>
        <w:rPr>
          <w:rFonts w:hint="eastAsia" w:eastAsiaTheme="minorEastAsia"/>
          <w:lang w:eastAsia="zh-CN"/>
        </w:rPr>
      </w:pPr>
      <w:r>
        <w:rPr>
          <w:rFonts w:hint="eastAsia"/>
          <w:lang w:eastAsia="zh-CN"/>
        </w:rPr>
        <w:t>二</w:t>
      </w:r>
      <w:r>
        <w:rPr>
          <w:rFonts w:hint="eastAsia"/>
        </w:rPr>
        <w:t>、采购项目预算：6万元</w:t>
      </w:r>
    </w:p>
    <w:p>
      <w:pPr>
        <w:rPr>
          <w:rFonts w:hint="eastAsia"/>
        </w:rPr>
      </w:pPr>
      <w:r>
        <w:rPr>
          <w:rFonts w:hint="eastAsia"/>
          <w:lang w:eastAsia="zh-CN"/>
        </w:rPr>
        <w:t>三</w:t>
      </w:r>
      <w:r>
        <w:rPr>
          <w:rFonts w:hint="eastAsia"/>
        </w:rPr>
        <w:t>、投标文件内容（均需加盖公章）：</w:t>
      </w:r>
    </w:p>
    <w:p>
      <w:pPr>
        <w:rPr>
          <w:rFonts w:hint="eastAsia"/>
        </w:rPr>
      </w:pPr>
      <w:r>
        <w:rPr>
          <w:rFonts w:hint="eastAsia"/>
        </w:rPr>
        <w:t>1、投标报价单：总报价不得高于预算价人民币 6万元</w:t>
      </w:r>
      <w:r>
        <w:rPr>
          <w:rFonts w:hint="eastAsia"/>
          <w:lang w:eastAsia="zh-CN"/>
        </w:rPr>
        <w:t>（含旧梯拆除，新厅门装饰，电梯动力电缆等）</w:t>
      </w:r>
      <w:r>
        <w:rPr>
          <w:rFonts w:hint="eastAsia"/>
        </w:rPr>
        <w:t>，否则视为无效报价。</w:t>
      </w:r>
    </w:p>
    <w:p>
      <w:r>
        <w:rPr>
          <w:rFonts w:hint="eastAsia"/>
        </w:rPr>
        <w:t>2、有效的企业法人营业执照复印件。</w:t>
      </w:r>
    </w:p>
    <w:p>
      <w:pPr>
        <w:rPr>
          <w:rFonts w:hint="eastAsia"/>
        </w:rPr>
      </w:pPr>
      <w:r>
        <w:rPr>
          <w:rFonts w:hint="eastAsia"/>
          <w:lang w:eastAsia="zh-CN"/>
        </w:rPr>
        <w:t>四</w:t>
      </w:r>
      <w:r>
        <w:rPr>
          <w:rFonts w:hint="eastAsia"/>
        </w:rPr>
        <w:t>、供应商资格要求：</w:t>
      </w:r>
    </w:p>
    <w:p>
      <w:pPr>
        <w:rPr>
          <w:rFonts w:hint="eastAsia"/>
        </w:rPr>
      </w:pPr>
      <w:r>
        <w:rPr>
          <w:rFonts w:hint="eastAsia"/>
        </w:rPr>
        <w:t xml:space="preserve">  1、供应商应具备《政府采购法》第二十二条第一款规定的条件；</w:t>
      </w:r>
    </w:p>
    <w:p>
      <w:pPr>
        <w:rPr>
          <w:rFonts w:hint="eastAsia"/>
        </w:rPr>
      </w:pPr>
      <w:r>
        <w:rPr>
          <w:rFonts w:hint="eastAsia"/>
        </w:rPr>
        <w:t xml:space="preserve">  2、响应文件递交截止时间当天，“信用中国”网站(www.creditchina.gov.cn)、中国政府采购网(www.ccgp.gov.cn)查询，投标人未被列入信用记录失信被执行人、重大税收违法案件当事人名单、政府采购严重违法失信行为记录名单；</w:t>
      </w:r>
    </w:p>
    <w:p>
      <w:pPr>
        <w:rPr>
          <w:rFonts w:hint="eastAsia"/>
        </w:rPr>
      </w:pPr>
      <w:r>
        <w:rPr>
          <w:rFonts w:hint="eastAsia"/>
        </w:rPr>
        <w:t xml:space="preserve">  3、为本项目提供整体设计、规范编制或者项目管理、监理、检测等服务的供应商，不得再参加本项目的其他采购活动；</w:t>
      </w:r>
    </w:p>
    <w:p>
      <w:pPr>
        <w:rPr>
          <w:rFonts w:hint="eastAsia"/>
        </w:rPr>
      </w:pPr>
      <w:r>
        <w:rPr>
          <w:rFonts w:hint="eastAsia"/>
        </w:rPr>
        <w:t xml:space="preserve">  4、 单位负责人为同一人或者存在直接控股、管理关系的不同供应商，不得参加本项目同一合同项下的政府采购活动；</w:t>
      </w:r>
    </w:p>
    <w:p>
      <w:pPr>
        <w:rPr>
          <w:rFonts w:hint="eastAsia"/>
        </w:rPr>
      </w:pPr>
      <w:r>
        <w:rPr>
          <w:rFonts w:hint="eastAsia"/>
        </w:rPr>
        <w:t xml:space="preserve">  5、供应商资格条件：</w:t>
      </w:r>
    </w:p>
    <w:p>
      <w:pPr>
        <w:rPr>
          <w:rFonts w:hint="eastAsia"/>
        </w:rPr>
      </w:pPr>
      <w:r>
        <w:rPr>
          <w:rFonts w:hint="eastAsia"/>
        </w:rPr>
        <w:t>供应商是代理商的，须具备《中华人民共和国特种设备(电梯)安装改造维修许可证》资质;或新证为《中华人民共和国特种设备生产许可证》许可项目电梯安装资质;同时提供产品制造商的《中华人民共和国特种设备（电梯）制造许可证》资质，或新证为《中华人民共和国特种设备生产许可证》许可项目电梯制造资质。</w:t>
      </w:r>
    </w:p>
    <w:p>
      <w:pPr>
        <w:rPr>
          <w:rFonts w:hint="eastAsia"/>
        </w:rPr>
      </w:pPr>
      <w:r>
        <w:rPr>
          <w:rFonts w:hint="eastAsia"/>
        </w:rPr>
        <w:t>供应商是制造商的，须具备《中华人民共和国特种设备(电梯)制造许可证》资质，同时取得《中华人民共和国特种设备(电梯)安装改造维修许可证》资质;或新证为《中华人民共和国特种设备生产许可证》许可项目电梯制造资质。</w:t>
      </w:r>
    </w:p>
    <w:p>
      <w:pPr>
        <w:rPr>
          <w:rFonts w:hint="eastAsia"/>
        </w:rPr>
      </w:pPr>
      <w:r>
        <w:rPr>
          <w:rFonts w:hint="eastAsia"/>
        </w:rPr>
        <w:t xml:space="preserve">  6、本项目专门面向中小企业，供应商提供的食堂传菜电梯全部由符合政策要求的中小企业制造，本项目标的所属行业为工业。参加响应的中小企业应当提供《中小企业声明函》，并对其真实性负责。</w:t>
      </w:r>
    </w:p>
    <w:p>
      <w:pPr>
        <w:rPr>
          <w:rFonts w:hint="eastAsia"/>
        </w:rPr>
      </w:pPr>
      <w:r>
        <w:rPr>
          <w:rFonts w:hint="eastAsia"/>
        </w:rPr>
        <w:t xml:space="preserve">  7、本项目不接受联合体询价。</w:t>
      </w:r>
    </w:p>
    <w:p>
      <w:r>
        <w:rPr>
          <w:rFonts w:hint="eastAsia"/>
          <w:lang w:eastAsia="zh-CN"/>
        </w:rPr>
        <w:t>五</w:t>
      </w:r>
      <w:r>
        <w:rPr>
          <w:rFonts w:hint="eastAsia"/>
        </w:rPr>
        <w:t>、投标文件递交截止时间及开标时间：</w:t>
      </w:r>
    </w:p>
    <w:p>
      <w:pPr>
        <w:rPr>
          <w:rFonts w:hint="eastAsia"/>
        </w:rPr>
      </w:pPr>
      <w:r>
        <w:rPr>
          <w:rFonts w:hint="eastAsia"/>
        </w:rPr>
        <w:t>2024年3月1日（周五）上午</w:t>
      </w:r>
      <w:r>
        <w:rPr>
          <w:rFonts w:hint="eastAsia"/>
          <w:lang w:val="en-US" w:eastAsia="zh-CN"/>
        </w:rPr>
        <w:t>10</w:t>
      </w:r>
      <w:r>
        <w:rPr>
          <w:rFonts w:hint="eastAsia"/>
        </w:rPr>
        <w:t>：</w:t>
      </w:r>
      <w:r>
        <w:rPr>
          <w:rFonts w:hint="eastAsia"/>
          <w:lang w:val="en-US" w:eastAsia="zh-CN"/>
        </w:rPr>
        <w:t>3</w:t>
      </w:r>
      <w:r>
        <w:rPr>
          <w:rFonts w:hint="eastAsia"/>
        </w:rPr>
        <w:t>0</w:t>
      </w:r>
      <w:r>
        <w:rPr>
          <w:rFonts w:hint="eastAsia"/>
          <w:lang w:eastAsia="zh-CN"/>
        </w:rPr>
        <w:t>前</w:t>
      </w:r>
      <w:r>
        <w:rPr>
          <w:rFonts w:hint="eastAsia"/>
        </w:rPr>
        <w:t>将密封（封口处加盖公章）的投标文件送至阳新县职业教育中心行政楼419室，超过该时间送达的文件采购人将拒收，不接收邮递文件。</w:t>
      </w:r>
    </w:p>
    <w:p>
      <w:pPr>
        <w:rPr>
          <w:rFonts w:hint="eastAsia"/>
        </w:rPr>
      </w:pPr>
      <w:r>
        <w:rPr>
          <w:rFonts w:hint="eastAsia"/>
        </w:rPr>
        <w:t>开标时间： 2024年3月</w:t>
      </w:r>
      <w:r>
        <w:rPr>
          <w:rFonts w:hint="eastAsia"/>
          <w:lang w:val="en-US" w:eastAsia="zh-CN"/>
        </w:rPr>
        <w:t>1</w:t>
      </w:r>
      <w:r>
        <w:rPr>
          <w:rFonts w:hint="eastAsia"/>
        </w:rPr>
        <w:t>日</w:t>
      </w:r>
      <w:r>
        <w:rPr>
          <w:rFonts w:hint="eastAsia"/>
          <w:lang w:val="en-US" w:eastAsia="zh-CN"/>
        </w:rPr>
        <w:t>10</w:t>
      </w:r>
      <w:r>
        <w:rPr>
          <w:rFonts w:hint="eastAsia"/>
        </w:rPr>
        <w:t>时</w:t>
      </w:r>
      <w:r>
        <w:rPr>
          <w:rFonts w:hint="eastAsia"/>
          <w:lang w:val="en-US" w:eastAsia="zh-CN"/>
        </w:rPr>
        <w:t>3</w:t>
      </w:r>
      <w:r>
        <w:rPr>
          <w:rFonts w:hint="eastAsia"/>
        </w:rPr>
        <w:t>0分</w:t>
      </w:r>
    </w:p>
    <w:p>
      <w:pPr>
        <w:rPr>
          <w:rFonts w:hint="eastAsia"/>
        </w:rPr>
      </w:pPr>
      <w:r>
        <w:rPr>
          <w:rFonts w:hint="eastAsia"/>
        </w:rPr>
        <w:t>开标地点：阳新县职业教育中心行政楼408室</w:t>
      </w:r>
    </w:p>
    <w:p/>
    <w:p>
      <w:r>
        <w:rPr>
          <w:rFonts w:hint="eastAsia"/>
          <w:lang w:eastAsia="zh-CN"/>
        </w:rPr>
        <w:t>六</w:t>
      </w:r>
      <w:r>
        <w:rPr>
          <w:rFonts w:hint="eastAsia"/>
        </w:rPr>
        <w:t>、 联系方式：</w:t>
      </w:r>
    </w:p>
    <w:p>
      <w:r>
        <w:rPr>
          <w:rFonts w:hint="eastAsia"/>
        </w:rPr>
        <w:t>地    址：阳新县职业教育中心（阳新县综合大道66号）</w:t>
      </w:r>
    </w:p>
    <w:p>
      <w:r>
        <w:rPr>
          <w:rFonts w:hint="eastAsia"/>
        </w:rPr>
        <w:t xml:space="preserve">联 系 人：张老师    </w:t>
      </w:r>
      <w:bookmarkStart w:id="0" w:name="_GoBack"/>
      <w:bookmarkEnd w:id="0"/>
    </w:p>
    <w:p>
      <w:r>
        <w:rPr>
          <w:rFonts w:hint="eastAsia"/>
        </w:rPr>
        <w:t>联系电话：18186007839</w:t>
      </w:r>
    </w:p>
    <w:p>
      <w:r>
        <w:rPr>
          <w:rFonts w:hint="eastAsia"/>
          <w:lang w:eastAsia="zh-CN"/>
        </w:rPr>
        <w:t>七</w:t>
      </w:r>
      <w:r>
        <w:rPr>
          <w:rFonts w:hint="eastAsia"/>
        </w:rPr>
        <w:t>、定标原则：</w:t>
      </w:r>
    </w:p>
    <w:p>
      <w:r>
        <w:rPr>
          <w:rFonts w:hint="eastAsia"/>
        </w:rPr>
        <w:t>依据《中华人民共和国政府采购法》 第四十条 询价程序执行：</w:t>
      </w:r>
    </w:p>
    <w:p>
      <w:r>
        <w:rPr>
          <w:rFonts w:hint="eastAsia"/>
        </w:rPr>
        <w:t>1、符合资质条件；</w:t>
      </w:r>
    </w:p>
    <w:p>
      <w:r>
        <w:rPr>
          <w:rFonts w:hint="eastAsia"/>
        </w:rPr>
        <w:t>2、确定被询价的供应商名单中（不少于三家）按总报价最低者确定为中标供应商；</w:t>
      </w:r>
    </w:p>
    <w:p>
      <w:r>
        <w:rPr>
          <w:rFonts w:hint="eastAsia"/>
        </w:rPr>
        <w:t>3、如中标候选人放弃中标或因不可抗力不能履行合同，招标人可以按照询价小组提出的中标候选人名单排序依次确定其他中标候选人为中标人。</w:t>
      </w:r>
    </w:p>
    <w:p>
      <w:r>
        <w:rPr>
          <w:rFonts w:hint="eastAsia"/>
          <w:lang w:eastAsia="zh-CN"/>
        </w:rPr>
        <w:t>八</w:t>
      </w:r>
      <w:r>
        <w:rPr>
          <w:rFonts w:hint="eastAsia"/>
        </w:rPr>
        <w:t>、其他补充事宜：</w:t>
      </w:r>
    </w:p>
    <w:p>
      <w:r>
        <w:rPr>
          <w:rFonts w:hint="eastAsia"/>
        </w:rPr>
        <w:t>1、如需咨询采购内容的详尽信息可联系：严老师18995798218；</w:t>
      </w:r>
    </w:p>
    <w:p>
      <w:r>
        <w:rPr>
          <w:rFonts w:hint="eastAsia"/>
        </w:rPr>
        <w:t>2、本次询价结果经校党委会上会后将在校网进行公示（一个工作日）；</w:t>
      </w:r>
    </w:p>
    <w:p>
      <w:r>
        <w:rPr>
          <w:rFonts w:hint="eastAsia"/>
        </w:rPr>
        <w:t>3、如供应商所供货物无法达到验收合格标准，由此造成的一切责任由供应商承担；</w:t>
      </w:r>
    </w:p>
    <w:p>
      <w:r>
        <w:rPr>
          <w:rFonts w:hint="eastAsia"/>
        </w:rPr>
        <w:t>4、参与本次公开询价的所有遴选文件概不退还。</w:t>
      </w:r>
    </w:p>
    <w:p>
      <w:pPr>
        <w:rPr>
          <w:rFonts w:hint="eastAsia"/>
        </w:rPr>
      </w:pPr>
      <w:r>
        <w:rPr>
          <w:rFonts w:hint="eastAsia"/>
          <w:lang w:eastAsia="zh-CN"/>
        </w:rPr>
        <w:t>九</w:t>
      </w:r>
      <w:r>
        <w:rPr>
          <w:rFonts w:hint="eastAsia"/>
        </w:rPr>
        <w:t>、公告期限：</w:t>
      </w:r>
    </w:p>
    <w:p>
      <w:pPr>
        <w:rPr>
          <w:rFonts w:hint="eastAsia"/>
        </w:rPr>
      </w:pPr>
      <w:r>
        <w:rPr>
          <w:rFonts w:hint="eastAsia"/>
        </w:rPr>
        <w:t xml:space="preserve">  自公告发布之日起3个工作日。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ZGM5MTVkN2U3ZTIwNDBkOTBlYzZlMmQ4MTczYjYifQ=="/>
  </w:docVars>
  <w:rsids>
    <w:rsidRoot w:val="00625673"/>
    <w:rsid w:val="003B2C43"/>
    <w:rsid w:val="00523FD5"/>
    <w:rsid w:val="00625673"/>
    <w:rsid w:val="1ABB6EDF"/>
    <w:rsid w:val="6311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Pages>
  <Words>207</Words>
  <Characters>1184</Characters>
  <Lines>9</Lines>
  <Paragraphs>2</Paragraphs>
  <TotalTime>7</TotalTime>
  <ScaleCrop>false</ScaleCrop>
  <LinksUpToDate>false</LinksUpToDate>
  <CharactersWithSpaces>1389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2024-02-26T11:55:00Z</dcterms:created>
  <dc:creator>Windows 用户</dc:creator>
  <cp:lastModifiedBy>微信用户</cp:lastModifiedBy>
  <dcterms:modified xsi:type="dcterms:W3CDTF">2024-02-27T08:48:05Z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721DD0B357E949218DA582AE7FBE5CC2_12</vt:lpwstr>
  </property>
</Properties>
</file>